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6B85" w14:textId="77777777" w:rsidR="006571F0" w:rsidRPr="006571F0" w:rsidRDefault="006571F0" w:rsidP="006571F0">
      <w:pPr>
        <w:spacing w:before="90" w:after="90"/>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000000"/>
          <w:sz w:val="26"/>
          <w:szCs w:val="26"/>
          <w:lang w:eastAsia="ru-RU"/>
        </w:rPr>
        <w:t>Методы определения таможенной стоимости:</w:t>
      </w:r>
    </w:p>
    <w:p w14:paraId="593EAA87" w14:textId="77777777" w:rsidR="006571F0" w:rsidRPr="006571F0" w:rsidRDefault="006571F0" w:rsidP="006571F0">
      <w:pPr>
        <w:ind w:firstLine="165"/>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b/>
          <w:bCs/>
          <w:color w:val="3E4156"/>
          <w:sz w:val="15"/>
          <w:szCs w:val="15"/>
          <w:lang w:eastAsia="ru-RU"/>
        </w:rPr>
        <w:t>1. Метод оценки таможенной стоимости по цене сделки с ввозимым товаром.</w:t>
      </w:r>
    </w:p>
    <w:p w14:paraId="5420D562" w14:textId="77777777" w:rsidR="006571F0" w:rsidRPr="006571F0" w:rsidRDefault="006571F0" w:rsidP="006571F0">
      <w:pPr>
        <w:ind w:firstLine="165"/>
        <w:jc w:val="both"/>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3E4156"/>
          <w:sz w:val="15"/>
          <w:szCs w:val="15"/>
          <w:lang w:eastAsia="ru-RU"/>
        </w:rPr>
        <w:t>Условия применения этого метода:</w:t>
      </w:r>
    </w:p>
    <w:p w14:paraId="0AA6F05D"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товар ввозится на территорию государства в соответствии с законно осуществляемыми внешнеторговыми сделками купли-продажи;</w:t>
      </w:r>
    </w:p>
    <w:p w14:paraId="415FD882"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взаимная зависимость в отношении продавец - покупатель количественно определена, учтена при расчете таможенной стоимости;</w:t>
      </w:r>
    </w:p>
    <w:p w14:paraId="1501B9F6"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не существует ограничений прав покупателя, являющегося собственником товаров;</w:t>
      </w:r>
    </w:p>
    <w:p w14:paraId="7E47D7D2"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не существует условий, количественное влияние которых, оказываемых на цену товара, невозможно определить.</w:t>
      </w:r>
    </w:p>
    <w:p w14:paraId="252FA21B" w14:textId="77777777" w:rsidR="006571F0" w:rsidRPr="006571F0" w:rsidRDefault="006571F0" w:rsidP="006571F0">
      <w:pPr>
        <w:ind w:firstLine="165"/>
        <w:jc w:val="both"/>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3E4156"/>
          <w:sz w:val="15"/>
          <w:szCs w:val="15"/>
          <w:lang w:eastAsia="ru-RU"/>
        </w:rPr>
        <w:t>Базой для определения таможенной стоимости по этому методу служит цена сделки непосредственно с ввозимым товаром, который подлежит оценке.</w:t>
      </w:r>
    </w:p>
    <w:p w14:paraId="2F6AA161" w14:textId="77777777" w:rsidR="006571F0" w:rsidRPr="006571F0" w:rsidRDefault="006571F0" w:rsidP="006571F0">
      <w:pPr>
        <w:ind w:firstLine="165"/>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b/>
          <w:bCs/>
          <w:color w:val="3E4156"/>
          <w:sz w:val="15"/>
          <w:szCs w:val="15"/>
          <w:lang w:eastAsia="ru-RU"/>
        </w:rPr>
        <w:t>2. Метод оценки, проводимый по цене сделки, производимой с идентичным товаром.</w:t>
      </w:r>
    </w:p>
    <w:p w14:paraId="28BDC93A" w14:textId="77777777" w:rsidR="006571F0" w:rsidRPr="006571F0" w:rsidRDefault="006571F0" w:rsidP="006571F0">
      <w:pPr>
        <w:ind w:firstLine="165"/>
        <w:jc w:val="both"/>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3E4156"/>
          <w:sz w:val="15"/>
          <w:szCs w:val="15"/>
          <w:lang w:eastAsia="ru-RU"/>
        </w:rPr>
        <w:t>Базой для определения таможенной стоимости этим методом служит цена сделки с идентичным товаром, одинаковым во всех отношениях с оцениваемым товаром по следующим параметрам:</w:t>
      </w:r>
    </w:p>
    <w:p w14:paraId="13DD7863"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по назначению и характеристикам;</w:t>
      </w:r>
    </w:p>
    <w:p w14:paraId="326017ED"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по качеству, наличию товарного знака и репутации на рынке;</w:t>
      </w:r>
    </w:p>
    <w:p w14:paraId="2B82AE26"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по стране происхождения;</w:t>
      </w:r>
    </w:p>
    <w:p w14:paraId="4F5FB37B"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по производителю.</w:t>
      </w:r>
    </w:p>
    <w:p w14:paraId="2575610F" w14:textId="77777777" w:rsidR="006571F0" w:rsidRPr="006571F0" w:rsidRDefault="006571F0" w:rsidP="006571F0">
      <w:pPr>
        <w:ind w:firstLine="165"/>
        <w:jc w:val="both"/>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3E4156"/>
          <w:sz w:val="15"/>
          <w:szCs w:val="15"/>
          <w:lang w:eastAsia="ru-RU"/>
        </w:rPr>
        <w:t>Цена сделки с идентичным товаром может быть принята в качестве базовой для определения таможенной стоимости в том случае, если он:</w:t>
      </w:r>
    </w:p>
    <w:p w14:paraId="23193B17"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был продан для ввоза на территорию РФ;</w:t>
      </w:r>
    </w:p>
    <w:p w14:paraId="19FCB581"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был ввезен одновременно или не раньше, чем за девяносто суток до ввоза оцениваемого товара;</w:t>
      </w:r>
    </w:p>
    <w:p w14:paraId="0ECBC8AB"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был ввезен на таких же коммерческих условиях, примерно в том же количестве, что и оцениваемый товар.</w:t>
      </w:r>
    </w:p>
    <w:p w14:paraId="3ADE0171" w14:textId="77777777" w:rsidR="006571F0" w:rsidRPr="006571F0" w:rsidRDefault="006571F0" w:rsidP="006571F0">
      <w:pPr>
        <w:ind w:firstLine="165"/>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b/>
          <w:bCs/>
          <w:color w:val="3E4156"/>
          <w:sz w:val="15"/>
          <w:szCs w:val="15"/>
          <w:lang w:eastAsia="ru-RU"/>
        </w:rPr>
        <w:t>3. Метод оценки таможенной стоимости по цене сделки с однородным товаром.</w:t>
      </w:r>
    </w:p>
    <w:p w14:paraId="71EA242A" w14:textId="77777777" w:rsidR="006571F0" w:rsidRPr="006571F0" w:rsidRDefault="006571F0" w:rsidP="006571F0">
      <w:pPr>
        <w:ind w:firstLine="165"/>
        <w:jc w:val="both"/>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3E4156"/>
          <w:sz w:val="15"/>
          <w:szCs w:val="15"/>
          <w:lang w:eastAsia="ru-RU"/>
        </w:rPr>
        <w:t>Базой для определения таможенной стоимости этим методом является цена сделки по товарам, которые являются однородными с импортируемыми. Они, может быть, и не являются полностью одинаковыми во всех отношениях, но имеют сходные характеристики, состоят из похожих компонентов, благодаря чему могут выполнять те же самые функции, что и оцениваемые товары, быть коммерчески взаимозаменяемыми с ними.</w:t>
      </w:r>
    </w:p>
    <w:p w14:paraId="3E7A507A" w14:textId="77777777" w:rsidR="006571F0" w:rsidRPr="006571F0" w:rsidRDefault="006571F0" w:rsidP="006571F0">
      <w:pPr>
        <w:ind w:firstLine="165"/>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b/>
          <w:bCs/>
          <w:color w:val="3E4156"/>
          <w:sz w:val="15"/>
          <w:szCs w:val="15"/>
          <w:lang w:eastAsia="ru-RU"/>
        </w:rPr>
        <w:t>4. Метод оценки на основе вычитания стоимости.</w:t>
      </w:r>
    </w:p>
    <w:p w14:paraId="756E1D7A" w14:textId="77777777" w:rsidR="006571F0" w:rsidRPr="006571F0" w:rsidRDefault="006571F0" w:rsidP="006571F0">
      <w:pPr>
        <w:ind w:firstLine="165"/>
        <w:jc w:val="both"/>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3E4156"/>
          <w:sz w:val="15"/>
          <w:szCs w:val="15"/>
          <w:lang w:eastAsia="ru-RU"/>
        </w:rPr>
        <w:t>По этому методу определение таможенной стоимости производится в тех случаях,когда оцениваемые, однородные или идентичные товары продаются на территории РФв неизменном состоянии. Базой для определения таможенной стоимости по методу оценки на основе вычитания стоимости служит цена единицы данного товара, покоторой оцениваемые, однородные и идентичные товары продаются самой большой партией на территории России в промежуток времени, максимально приближенный ко времени ввоза (но не позднее, чем девяносто суток со дня ввоза оцениваемых товаров), независимому от продавца покупателю.</w:t>
      </w:r>
    </w:p>
    <w:p w14:paraId="1C6DC443" w14:textId="77777777" w:rsidR="006571F0" w:rsidRPr="006571F0" w:rsidRDefault="006571F0" w:rsidP="006571F0">
      <w:pPr>
        <w:ind w:firstLine="165"/>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b/>
          <w:bCs/>
          <w:color w:val="3E4156"/>
          <w:sz w:val="15"/>
          <w:szCs w:val="15"/>
          <w:lang w:eastAsia="ru-RU"/>
        </w:rPr>
        <w:t>5. Метод оценки, основанный на сложении стоимости.</w:t>
      </w:r>
    </w:p>
    <w:p w14:paraId="3A0F0A65" w14:textId="77777777" w:rsidR="006571F0" w:rsidRPr="006571F0" w:rsidRDefault="006571F0" w:rsidP="006571F0">
      <w:pPr>
        <w:ind w:firstLine="165"/>
        <w:jc w:val="both"/>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3E4156"/>
          <w:sz w:val="15"/>
          <w:szCs w:val="15"/>
          <w:lang w:eastAsia="ru-RU"/>
        </w:rPr>
        <w:t>Базой для определения таможенной стоимости этим методом служит цена товаров, рассчитанная путем сложения некоторых величин, а именно:</w:t>
      </w:r>
    </w:p>
    <w:p w14:paraId="6E0E862D"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стоимости материалов и других издержек, которые изготовитель понес при производстве оцениваемых товаров;</w:t>
      </w:r>
    </w:p>
    <w:p w14:paraId="3E3E631C"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общих затрат, которые характерны для продажи в РФ из страны-экспортера аналогичных товаров, включая стоимость транспортировки и погрузочно-разгрузочных работ, затраты на страхование по месту растаможки на территории Российской Федерации;</w:t>
      </w:r>
    </w:p>
    <w:p w14:paraId="7A6CFF43" w14:textId="77777777" w:rsidR="006571F0" w:rsidRPr="006571F0" w:rsidRDefault="006571F0" w:rsidP="006571F0">
      <w:pPr>
        <w:ind w:hanging="270"/>
        <w:jc w:val="both"/>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прибыли, которую обычно получает экспортер в результате поставок на территорию Российской Федерации аналогичных товаров.</w:t>
      </w:r>
    </w:p>
    <w:p w14:paraId="4289A23A" w14:textId="77777777" w:rsidR="006571F0" w:rsidRPr="006571F0" w:rsidRDefault="006571F0" w:rsidP="006571F0">
      <w:pPr>
        <w:ind w:firstLine="165"/>
        <w:jc w:val="both"/>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3E4156"/>
          <w:sz w:val="15"/>
          <w:szCs w:val="15"/>
          <w:lang w:eastAsia="ru-RU"/>
        </w:rPr>
        <w:t>Определяя таможенную стоимость при помощи этого метода, необходимо учитывать все расходы, которые включаются в цену товара. В Российской Федерации данный метод встречается при таможенном оформлении очень редко, потому что у иностранного производителя бывает сложно получить информацию о себестоимости товаров.</w:t>
      </w:r>
    </w:p>
    <w:p w14:paraId="352172B2" w14:textId="77777777" w:rsidR="006571F0" w:rsidRPr="006571F0" w:rsidRDefault="006571F0" w:rsidP="006571F0">
      <w:pPr>
        <w:ind w:firstLine="165"/>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b/>
          <w:bCs/>
          <w:color w:val="3E4156"/>
          <w:sz w:val="15"/>
          <w:szCs w:val="15"/>
          <w:lang w:eastAsia="ru-RU"/>
        </w:rPr>
        <w:t>6. Резервный метод.</w:t>
      </w:r>
    </w:p>
    <w:p w14:paraId="5F39F885" w14:textId="77777777" w:rsidR="006571F0" w:rsidRPr="006571F0" w:rsidRDefault="006571F0" w:rsidP="006571F0">
      <w:pPr>
        <w:ind w:firstLine="165"/>
        <w:jc w:val="both"/>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3E4156"/>
          <w:sz w:val="15"/>
          <w:szCs w:val="15"/>
          <w:lang w:eastAsia="ru-RU"/>
        </w:rPr>
        <w:t>В случаях, когда таможенную стоимость декларанту невозможно определить последовательным применением указанных предыдущих пяти методов, когда органы таможни аргументировано полагают, что данные пять методов для определения таможенной стоимости невозможно использовать, величина таможенной стоимости оцениваемых товаров может быть определена и обоснована, учитывая мировую таможенную практику. При применении такого резервного метода органы таможни должны предоставить декларанту ценовую информацию, имеющуюся в их распоряжении.</w:t>
      </w:r>
    </w:p>
    <w:p w14:paraId="4DFFE8B2" w14:textId="77777777" w:rsidR="006571F0" w:rsidRPr="006571F0" w:rsidRDefault="006571F0" w:rsidP="006571F0">
      <w:pPr>
        <w:ind w:firstLine="165"/>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000000"/>
          <w:sz w:val="18"/>
          <w:szCs w:val="18"/>
          <w:lang w:eastAsia="ru-RU"/>
        </w:rPr>
        <w:t> </w:t>
      </w:r>
    </w:p>
    <w:p w14:paraId="6D8EE175" w14:textId="77777777" w:rsidR="006571F0" w:rsidRPr="006571F0" w:rsidRDefault="006571F0" w:rsidP="006571F0">
      <w:pPr>
        <w:ind w:firstLine="165"/>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3E4156"/>
          <w:sz w:val="15"/>
          <w:szCs w:val="15"/>
          <w:lang w:eastAsia="ru-RU"/>
        </w:rPr>
        <w:t>Каждая методика применяется последовательно. Только после доказательства, что одна из них не соответствует к применению для расчета таможенной стоимости, приступают к расчету, согласно следующей методике. Выбранная окончательно методика, обоснование для ее выбора – все это должно быть внесено в таможенную декларацию, в соответствующую графу. В отдельных случаях, ввозимые товары освобождаются от уплаты таможенной пошлины, однако их оценка для органов таможни все равно считается обязательной:</w:t>
      </w:r>
    </w:p>
    <w:p w14:paraId="1D6C3BD1" w14:textId="77777777" w:rsidR="006571F0" w:rsidRPr="006571F0" w:rsidRDefault="006571F0" w:rsidP="006571F0">
      <w:pPr>
        <w:ind w:hanging="270"/>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при ввозе товаров, в качестве безвозмездной благотворительной помощи;</w:t>
      </w:r>
    </w:p>
    <w:p w14:paraId="5C3F9392" w14:textId="77777777" w:rsidR="006571F0" w:rsidRPr="006571F0" w:rsidRDefault="006571F0" w:rsidP="006571F0">
      <w:pPr>
        <w:ind w:hanging="270"/>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при ввозе иностранными гражданами оборудования, являющегося вкладом в уставной капитал российских компаний;</w:t>
      </w:r>
    </w:p>
    <w:p w14:paraId="0E0D2F4B" w14:textId="77777777" w:rsidR="006571F0" w:rsidRPr="006571F0" w:rsidRDefault="006571F0" w:rsidP="006571F0">
      <w:pPr>
        <w:ind w:hanging="270"/>
        <w:rPr>
          <w:rFonts w:ascii="-webkit-standard" w:eastAsia="Times New Roman" w:hAnsi="-webkit-standard" w:cs="Times New Roman"/>
          <w:color w:val="000000"/>
          <w:sz w:val="18"/>
          <w:szCs w:val="18"/>
          <w:lang w:eastAsia="ru-RU"/>
        </w:rPr>
      </w:pPr>
      <w:r w:rsidRPr="006571F0">
        <w:rPr>
          <w:rFonts w:ascii="Symbol" w:eastAsia="Times New Roman" w:hAnsi="Symbol" w:cs="Times New Roman"/>
          <w:color w:val="000000"/>
          <w:sz w:val="18"/>
          <w:szCs w:val="18"/>
          <w:lang w:eastAsia="ru-RU"/>
        </w:rPr>
        <w:t>• </w:t>
      </w:r>
      <w:r w:rsidRPr="006571F0">
        <w:rPr>
          <w:rFonts w:ascii="-webkit-standard" w:eastAsia="Times New Roman" w:hAnsi="-webkit-standard" w:cs="Times New Roman"/>
          <w:color w:val="3E4156"/>
          <w:sz w:val="15"/>
          <w:szCs w:val="15"/>
          <w:lang w:eastAsia="ru-RU"/>
        </w:rPr>
        <w:t>при ввозе медицинского оборудования, которое занесено в специальный перечень.</w:t>
      </w:r>
    </w:p>
    <w:p w14:paraId="2ADC0F43" w14:textId="77777777" w:rsidR="006571F0" w:rsidRPr="006571F0" w:rsidRDefault="006571F0" w:rsidP="006571F0">
      <w:pPr>
        <w:ind w:firstLine="165"/>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3E4156"/>
          <w:sz w:val="15"/>
          <w:szCs w:val="15"/>
          <w:lang w:eastAsia="ru-RU"/>
        </w:rPr>
        <w:t> </w:t>
      </w:r>
    </w:p>
    <w:p w14:paraId="57424DF6" w14:textId="77777777" w:rsidR="006571F0" w:rsidRPr="006571F0" w:rsidRDefault="006571F0" w:rsidP="006571F0">
      <w:pPr>
        <w:ind w:firstLine="165"/>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3E4156"/>
          <w:sz w:val="15"/>
          <w:szCs w:val="15"/>
          <w:lang w:eastAsia="ru-RU"/>
        </w:rPr>
        <w:t>  Узнать подробности и получить консультацию специалиста </w:t>
      </w:r>
      <w:bookmarkStart w:id="0" w:name="_GoBack"/>
      <w:bookmarkEnd w:id="0"/>
      <w:r w:rsidRPr="006571F0">
        <w:rPr>
          <w:rFonts w:ascii="-webkit-standard" w:eastAsia="Times New Roman" w:hAnsi="-webkit-standard" w:cs="Times New Roman"/>
          <w:color w:val="3E4156"/>
          <w:sz w:val="15"/>
          <w:szCs w:val="15"/>
          <w:lang w:eastAsia="ru-RU"/>
        </w:rPr>
        <w:t>вы можете или по телефону  8-800-201-01-55 (бесплатно на всей территории РФ)  или по мейлу </w:t>
      </w:r>
    </w:p>
    <w:p w14:paraId="25B5C14B" w14:textId="77777777" w:rsidR="006571F0" w:rsidRPr="006571F0" w:rsidRDefault="006571F0" w:rsidP="006571F0">
      <w:pPr>
        <w:spacing w:line="216" w:lineRule="atLeast"/>
        <w:rPr>
          <w:rFonts w:ascii="-webkit-standard" w:eastAsia="Times New Roman" w:hAnsi="-webkit-standard" w:cs="Times New Roman"/>
          <w:color w:val="000000"/>
          <w:sz w:val="18"/>
          <w:szCs w:val="18"/>
          <w:lang w:eastAsia="ru-RU"/>
        </w:rPr>
      </w:pPr>
      <w:r w:rsidRPr="006571F0">
        <w:rPr>
          <w:rFonts w:ascii="-webkit-standard" w:eastAsia="Times New Roman" w:hAnsi="-webkit-standard" w:cs="Times New Roman"/>
          <w:color w:val="000000"/>
          <w:sz w:val="18"/>
          <w:szCs w:val="18"/>
          <w:lang w:eastAsia="ru-RU"/>
        </w:rPr>
        <w:t> </w:t>
      </w:r>
    </w:p>
    <w:p w14:paraId="3520B316" w14:textId="77777777" w:rsidR="00707579" w:rsidRPr="006571F0" w:rsidRDefault="00707579" w:rsidP="006571F0"/>
    <w:sectPr w:rsidR="00707579" w:rsidRPr="00657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2B"/>
    <w:rsid w:val="0003662B"/>
    <w:rsid w:val="006571F0"/>
    <w:rsid w:val="00707579"/>
  </w:rsids>
  <m:mathPr>
    <m:mathFont m:val="Cambria Math"/>
    <m:brkBin m:val="before"/>
    <m:brkBinSub m:val="--"/>
    <m:smallFrac m:val="0"/>
    <m:dispDef/>
    <m:lMargin m:val="0"/>
    <m:rMargin m:val="0"/>
    <m:defJc m:val="centerGroup"/>
    <m:wrapIndent m:val="1440"/>
    <m:intLim m:val="subSup"/>
    <m:naryLim m:val="undOvr"/>
  </m:mathPr>
  <w:themeFontLang w:val="ru-AM"/>
  <w:clrSchemeMapping w:bg1="light1" w:t1="dark1" w:bg2="light2" w:t2="dark2" w:accent1="accent1" w:accent2="accent2" w:accent3="accent3" w:accent4="accent4" w:accent5="accent5" w:accent6="accent6" w:hyperlink="hyperlink" w:followedHyperlink="followedHyperlink"/>
  <w:decimalSymbol w:val=","/>
  <w:listSeparator w:val=";"/>
  <w14:docId w14:val="3DF13254"/>
  <w15:chartTrackingRefBased/>
  <w15:docId w15:val="{7A3AD7D6-776A-5043-8941-F24E484F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A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03662B"/>
    <w:pPr>
      <w:spacing w:before="100" w:beforeAutospacing="1" w:after="100" w:afterAutospacing="1"/>
    </w:pPr>
    <w:rPr>
      <w:rFonts w:ascii="Times New Roman" w:eastAsia="Times New Roman" w:hAnsi="Times New Roman" w:cs="Times New Roman"/>
      <w:lang w:eastAsia="ru-RU"/>
    </w:rPr>
  </w:style>
  <w:style w:type="character" w:customStyle="1" w:styleId="s2">
    <w:name w:val="s2"/>
    <w:basedOn w:val="a0"/>
    <w:rsid w:val="0003662B"/>
  </w:style>
  <w:style w:type="paragraph" w:customStyle="1" w:styleId="s5">
    <w:name w:val="s5"/>
    <w:basedOn w:val="a"/>
    <w:rsid w:val="0003662B"/>
    <w:pPr>
      <w:spacing w:before="100" w:beforeAutospacing="1" w:after="100" w:afterAutospacing="1"/>
    </w:pPr>
    <w:rPr>
      <w:rFonts w:ascii="Times New Roman" w:eastAsia="Times New Roman" w:hAnsi="Times New Roman" w:cs="Times New Roman"/>
      <w:lang w:eastAsia="ru-RU"/>
    </w:rPr>
  </w:style>
  <w:style w:type="character" w:customStyle="1" w:styleId="s4">
    <w:name w:val="s4"/>
    <w:basedOn w:val="a0"/>
    <w:rsid w:val="0003662B"/>
  </w:style>
  <w:style w:type="character" w:customStyle="1" w:styleId="apple-converted-space">
    <w:name w:val="apple-converted-space"/>
    <w:basedOn w:val="a0"/>
    <w:rsid w:val="0003662B"/>
  </w:style>
  <w:style w:type="paragraph" w:customStyle="1" w:styleId="s7">
    <w:name w:val="s7"/>
    <w:basedOn w:val="a"/>
    <w:rsid w:val="006571F0"/>
    <w:pPr>
      <w:spacing w:before="100" w:beforeAutospacing="1" w:after="100" w:afterAutospacing="1"/>
    </w:pPr>
    <w:rPr>
      <w:rFonts w:ascii="Times New Roman" w:eastAsia="Times New Roman" w:hAnsi="Times New Roman" w:cs="Times New Roman"/>
      <w:lang w:eastAsia="ru-RU"/>
    </w:rPr>
  </w:style>
  <w:style w:type="character" w:customStyle="1" w:styleId="s6">
    <w:name w:val="s6"/>
    <w:basedOn w:val="a0"/>
    <w:rsid w:val="006571F0"/>
  </w:style>
  <w:style w:type="character" w:customStyle="1" w:styleId="s8">
    <w:name w:val="s8"/>
    <w:basedOn w:val="a0"/>
    <w:rsid w:val="006571F0"/>
  </w:style>
  <w:style w:type="paragraph" w:styleId="a3">
    <w:name w:val="Normal (Web)"/>
    <w:basedOn w:val="a"/>
    <w:uiPriority w:val="99"/>
    <w:semiHidden/>
    <w:unhideWhenUsed/>
    <w:rsid w:val="006571F0"/>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84400">
          <w:marLeft w:val="705"/>
          <w:marRight w:val="0"/>
          <w:marTop w:val="0"/>
          <w:marBottom w:val="0"/>
          <w:divBdr>
            <w:top w:val="none" w:sz="0" w:space="0" w:color="auto"/>
            <w:left w:val="none" w:sz="0" w:space="0" w:color="auto"/>
            <w:bottom w:val="none" w:sz="0" w:space="0" w:color="auto"/>
            <w:right w:val="none" w:sz="0" w:space="0" w:color="auto"/>
          </w:divBdr>
        </w:div>
        <w:div w:id="1059403164">
          <w:marLeft w:val="705"/>
          <w:marRight w:val="0"/>
          <w:marTop w:val="0"/>
          <w:marBottom w:val="0"/>
          <w:divBdr>
            <w:top w:val="none" w:sz="0" w:space="0" w:color="auto"/>
            <w:left w:val="none" w:sz="0" w:space="0" w:color="auto"/>
            <w:bottom w:val="none" w:sz="0" w:space="0" w:color="auto"/>
            <w:right w:val="none" w:sz="0" w:space="0" w:color="auto"/>
          </w:divBdr>
        </w:div>
        <w:div w:id="955067537">
          <w:marLeft w:val="705"/>
          <w:marRight w:val="0"/>
          <w:marTop w:val="0"/>
          <w:marBottom w:val="0"/>
          <w:divBdr>
            <w:top w:val="none" w:sz="0" w:space="0" w:color="auto"/>
            <w:left w:val="none" w:sz="0" w:space="0" w:color="auto"/>
            <w:bottom w:val="none" w:sz="0" w:space="0" w:color="auto"/>
            <w:right w:val="none" w:sz="0" w:space="0" w:color="auto"/>
          </w:divBdr>
        </w:div>
        <w:div w:id="1050616894">
          <w:marLeft w:val="705"/>
          <w:marRight w:val="0"/>
          <w:marTop w:val="0"/>
          <w:marBottom w:val="0"/>
          <w:divBdr>
            <w:top w:val="none" w:sz="0" w:space="0" w:color="auto"/>
            <w:left w:val="none" w:sz="0" w:space="0" w:color="auto"/>
            <w:bottom w:val="none" w:sz="0" w:space="0" w:color="auto"/>
            <w:right w:val="none" w:sz="0" w:space="0" w:color="auto"/>
          </w:divBdr>
        </w:div>
        <w:div w:id="1844665274">
          <w:marLeft w:val="705"/>
          <w:marRight w:val="0"/>
          <w:marTop w:val="0"/>
          <w:marBottom w:val="0"/>
          <w:divBdr>
            <w:top w:val="none" w:sz="0" w:space="0" w:color="auto"/>
            <w:left w:val="none" w:sz="0" w:space="0" w:color="auto"/>
            <w:bottom w:val="none" w:sz="0" w:space="0" w:color="auto"/>
            <w:right w:val="none" w:sz="0" w:space="0" w:color="auto"/>
          </w:divBdr>
        </w:div>
        <w:div w:id="507330980">
          <w:marLeft w:val="705"/>
          <w:marRight w:val="0"/>
          <w:marTop w:val="0"/>
          <w:marBottom w:val="0"/>
          <w:divBdr>
            <w:top w:val="none" w:sz="0" w:space="0" w:color="auto"/>
            <w:left w:val="none" w:sz="0" w:space="0" w:color="auto"/>
            <w:bottom w:val="none" w:sz="0" w:space="0" w:color="auto"/>
            <w:right w:val="none" w:sz="0" w:space="0" w:color="auto"/>
          </w:divBdr>
        </w:div>
        <w:div w:id="1449347647">
          <w:marLeft w:val="705"/>
          <w:marRight w:val="0"/>
          <w:marTop w:val="0"/>
          <w:marBottom w:val="0"/>
          <w:divBdr>
            <w:top w:val="none" w:sz="0" w:space="0" w:color="auto"/>
            <w:left w:val="none" w:sz="0" w:space="0" w:color="auto"/>
            <w:bottom w:val="none" w:sz="0" w:space="0" w:color="auto"/>
            <w:right w:val="none" w:sz="0" w:space="0" w:color="auto"/>
          </w:divBdr>
        </w:div>
        <w:div w:id="16516023">
          <w:marLeft w:val="705"/>
          <w:marRight w:val="0"/>
          <w:marTop w:val="0"/>
          <w:marBottom w:val="0"/>
          <w:divBdr>
            <w:top w:val="none" w:sz="0" w:space="0" w:color="auto"/>
            <w:left w:val="none" w:sz="0" w:space="0" w:color="auto"/>
            <w:bottom w:val="none" w:sz="0" w:space="0" w:color="auto"/>
            <w:right w:val="none" w:sz="0" w:space="0" w:color="auto"/>
          </w:divBdr>
        </w:div>
        <w:div w:id="23020445">
          <w:marLeft w:val="705"/>
          <w:marRight w:val="0"/>
          <w:marTop w:val="0"/>
          <w:marBottom w:val="0"/>
          <w:divBdr>
            <w:top w:val="none" w:sz="0" w:space="0" w:color="auto"/>
            <w:left w:val="none" w:sz="0" w:space="0" w:color="auto"/>
            <w:bottom w:val="none" w:sz="0" w:space="0" w:color="auto"/>
            <w:right w:val="none" w:sz="0" w:space="0" w:color="auto"/>
          </w:divBdr>
        </w:div>
        <w:div w:id="1732650616">
          <w:marLeft w:val="705"/>
          <w:marRight w:val="0"/>
          <w:marTop w:val="0"/>
          <w:marBottom w:val="0"/>
          <w:divBdr>
            <w:top w:val="none" w:sz="0" w:space="0" w:color="auto"/>
            <w:left w:val="none" w:sz="0" w:space="0" w:color="auto"/>
            <w:bottom w:val="none" w:sz="0" w:space="0" w:color="auto"/>
            <w:right w:val="none" w:sz="0" w:space="0" w:color="auto"/>
          </w:divBdr>
        </w:div>
        <w:div w:id="1510681502">
          <w:marLeft w:val="705"/>
          <w:marRight w:val="0"/>
          <w:marTop w:val="0"/>
          <w:marBottom w:val="0"/>
          <w:divBdr>
            <w:top w:val="none" w:sz="0" w:space="0" w:color="auto"/>
            <w:left w:val="none" w:sz="0" w:space="0" w:color="auto"/>
            <w:bottom w:val="none" w:sz="0" w:space="0" w:color="auto"/>
            <w:right w:val="none" w:sz="0" w:space="0" w:color="auto"/>
          </w:divBdr>
        </w:div>
        <w:div w:id="1522548900">
          <w:marLeft w:val="705"/>
          <w:marRight w:val="0"/>
          <w:marTop w:val="0"/>
          <w:marBottom w:val="0"/>
          <w:divBdr>
            <w:top w:val="none" w:sz="0" w:space="0" w:color="auto"/>
            <w:left w:val="none" w:sz="0" w:space="0" w:color="auto"/>
            <w:bottom w:val="none" w:sz="0" w:space="0" w:color="auto"/>
            <w:right w:val="none" w:sz="0" w:space="0" w:color="auto"/>
          </w:divBdr>
        </w:div>
        <w:div w:id="1702392229">
          <w:marLeft w:val="705"/>
          <w:marRight w:val="0"/>
          <w:marTop w:val="0"/>
          <w:marBottom w:val="0"/>
          <w:divBdr>
            <w:top w:val="none" w:sz="0" w:space="0" w:color="auto"/>
            <w:left w:val="none" w:sz="0" w:space="0" w:color="auto"/>
            <w:bottom w:val="none" w:sz="0" w:space="0" w:color="auto"/>
            <w:right w:val="none" w:sz="0" w:space="0" w:color="auto"/>
          </w:divBdr>
        </w:div>
        <w:div w:id="1600407688">
          <w:marLeft w:val="705"/>
          <w:marRight w:val="0"/>
          <w:marTop w:val="0"/>
          <w:marBottom w:val="0"/>
          <w:divBdr>
            <w:top w:val="none" w:sz="0" w:space="0" w:color="auto"/>
            <w:left w:val="none" w:sz="0" w:space="0" w:color="auto"/>
            <w:bottom w:val="none" w:sz="0" w:space="0" w:color="auto"/>
            <w:right w:val="none" w:sz="0" w:space="0" w:color="auto"/>
          </w:divBdr>
        </w:div>
        <w:div w:id="965312338">
          <w:marLeft w:val="705"/>
          <w:marRight w:val="0"/>
          <w:marTop w:val="0"/>
          <w:marBottom w:val="0"/>
          <w:divBdr>
            <w:top w:val="none" w:sz="0" w:space="0" w:color="auto"/>
            <w:left w:val="none" w:sz="0" w:space="0" w:color="auto"/>
            <w:bottom w:val="none" w:sz="0" w:space="0" w:color="auto"/>
            <w:right w:val="none" w:sz="0" w:space="0" w:color="auto"/>
          </w:divBdr>
        </w:div>
        <w:div w:id="768618129">
          <w:marLeft w:val="705"/>
          <w:marRight w:val="0"/>
          <w:marTop w:val="0"/>
          <w:marBottom w:val="0"/>
          <w:divBdr>
            <w:top w:val="none" w:sz="0" w:space="0" w:color="auto"/>
            <w:left w:val="none" w:sz="0" w:space="0" w:color="auto"/>
            <w:bottom w:val="none" w:sz="0" w:space="0" w:color="auto"/>
            <w:right w:val="none" w:sz="0" w:space="0" w:color="auto"/>
          </w:divBdr>
        </w:div>
        <w:div w:id="141847283">
          <w:marLeft w:val="705"/>
          <w:marRight w:val="0"/>
          <w:marTop w:val="0"/>
          <w:marBottom w:val="0"/>
          <w:divBdr>
            <w:top w:val="none" w:sz="0" w:space="0" w:color="auto"/>
            <w:left w:val="none" w:sz="0" w:space="0" w:color="auto"/>
            <w:bottom w:val="none" w:sz="0" w:space="0" w:color="auto"/>
            <w:right w:val="none" w:sz="0" w:space="0" w:color="auto"/>
          </w:divBdr>
        </w:div>
      </w:divsChild>
    </w:div>
    <w:div w:id="11732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dc:creator>
  <cp:keywords/>
  <dc:description/>
  <cp:lastModifiedBy>95</cp:lastModifiedBy>
  <cp:revision>2</cp:revision>
  <dcterms:created xsi:type="dcterms:W3CDTF">2023-10-30T23:29:00Z</dcterms:created>
  <dcterms:modified xsi:type="dcterms:W3CDTF">2023-10-30T23:29:00Z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2023-10-30T23:28:42Z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3f494cd8-b933-4a34-898b-c53b6685610a</vt:lpwstr>
  </property>
  <property fmtid="{D5CDD505-2E9C-101B-9397-08002B2CF9AE}" pid="7" name="MSIP_Label_defa4170-0d19-0005-0004-bc88714345d2_ActionId">
    <vt:lpwstr>82723f8a-28b2-4633-80d0-5a5af711dafd</vt:lpwstr>
  </property>
  <property fmtid="{D5CDD505-2E9C-101B-9397-08002B2CF9AE}" pid="8" name="MSIP_Label_defa4170-0d19-0005-0004-bc88714345d2_ContentBits">
    <vt:lpwstr>0</vt:lpwstr>
  </property>
</Properties>
</file>